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212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02 марта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ч.1 ст.15.33.2 КоАП РФ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директора-начальника отдела 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sz w:val="28"/>
          <w:szCs w:val="28"/>
        </w:rPr>
        <w:t>анты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z w:val="28"/>
          <w:szCs w:val="28"/>
        </w:rPr>
        <w:t>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</w:rPr>
        <w:t>гры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гентство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Махневой </w:t>
      </w:r>
      <w:r>
        <w:rPr>
          <w:rStyle w:val="cat-UserDefinedgrp-3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7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директора-начальника отдела 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sz w:val="28"/>
          <w:szCs w:val="28"/>
        </w:rPr>
        <w:t>анты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z w:val="28"/>
          <w:szCs w:val="28"/>
        </w:rPr>
        <w:t>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</w:rPr>
        <w:t>гры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гентство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</w:t>
      </w:r>
      <w:r>
        <w:rPr>
          <w:rFonts w:ascii="Times New Roman" w:eastAsia="Times New Roman" w:hAnsi="Times New Roman" w:cs="Times New Roman"/>
          <w:sz w:val="28"/>
          <w:szCs w:val="28"/>
        </w:rPr>
        <w:t>00 часов 01 минуту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01.04.1996 г.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1.04.1996 №27-ФЗ)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 Отделение Фонда пенсионного и социального страхования по ХМАО-Югре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сроки сведения об окончании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02.08.2025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окончании договора ГПХ </w:t>
      </w:r>
      <w:r>
        <w:rPr>
          <w:rFonts w:ascii="Times New Roman" w:eastAsia="Times New Roman" w:hAnsi="Times New Roman" w:cs="Times New Roman"/>
          <w:sz w:val="28"/>
          <w:szCs w:val="28"/>
        </w:rPr>
        <w:t>02.08.2025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03.08.2025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Фактические обстоятельства дела подтверждаются исследованными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акта о выявлении правонарушения от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 Ханты-Мансийского автономного округа – Югры «Агентство социального благополучия населения»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приказа о </w:t>
      </w:r>
      <w:r>
        <w:rPr>
          <w:rFonts w:ascii="Times New Roman" w:eastAsia="Times New Roman" w:hAnsi="Times New Roman" w:cs="Times New Roman"/>
          <w:sz w:val="28"/>
          <w:szCs w:val="28"/>
        </w:rPr>
        <w:t>переводе работника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другую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</w:t>
      </w:r>
      <w:r>
        <w:rPr>
          <w:rStyle w:val="cat-FIOgrp-17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1299-лс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директора-начальника отдела 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 Ханты-Мансийского автономного округа – Югры «Агентство социального благополучия населения»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должностно</w:t>
      </w:r>
      <w:r>
        <w:rPr>
          <w:rFonts w:ascii="Times New Roman" w:eastAsia="Times New Roman" w:hAnsi="Times New Roman" w:cs="Times New Roman"/>
          <w:sz w:val="28"/>
          <w:szCs w:val="28"/>
        </w:rPr>
        <w:t>й инструкции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8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</w:t>
      </w:r>
      <w:r>
        <w:rPr>
          <w:rFonts w:ascii="Times New Roman" w:eastAsia="Times New Roman" w:hAnsi="Times New Roman" w:cs="Times New Roman"/>
          <w:sz w:val="28"/>
          <w:szCs w:val="28"/>
        </w:rPr>
        <w:t>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директора-начальника отдела бухгалтерского учета и отчетности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sz w:val="28"/>
          <w:szCs w:val="28"/>
        </w:rPr>
        <w:t>анты</w:t>
      </w:r>
      <w:r>
        <w:rPr>
          <w:rFonts w:ascii="Times New Roman" w:eastAsia="Times New Roman" w:hAnsi="Times New Roman" w:cs="Times New Roman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sz w:val="28"/>
          <w:szCs w:val="28"/>
        </w:rPr>
        <w:t>ансийского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 w:cs="Times New Roman"/>
          <w:sz w:val="28"/>
          <w:szCs w:val="28"/>
        </w:rPr>
        <w:t>гры «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гентство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благополучия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1rplc-3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</w:t>
      </w:r>
      <w:r>
        <w:rPr>
          <w:rFonts w:ascii="Times New Roman" w:eastAsia="Times New Roman" w:hAnsi="Times New Roman" w:cs="Times New Roman"/>
          <w:sz w:val="28"/>
          <w:szCs w:val="28"/>
        </w:rPr>
        <w:t>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ТОФК-007162163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02700000000374457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20rplc-47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5rplc-3">
    <w:name w:val="cat-FIO grp-15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ExternalSystemDefinedgrp-31rplc-10">
    <w:name w:val="cat-ExternalSystemDefined grp-31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FIOgrp-18rplc-33">
    <w:name w:val="cat-FIO grp-18 rplc-33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Sumgrp-21rplc-36">
    <w:name w:val="cat-Sum grp-21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4rplc-44">
    <w:name w:val="cat-Address grp-4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20rplc-46">
    <w:name w:val="cat-FIO grp-20 rplc-46"/>
    <w:basedOn w:val="DefaultParagraphFont"/>
  </w:style>
  <w:style w:type="character" w:customStyle="1" w:styleId="cat-FIOgrp-20rplc-47">
    <w:name w:val="cat-FIO grp-2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